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64" w:rsidRDefault="00086E64">
      <w:pPr>
        <w:rPr>
          <w:rFonts w:hint="cs"/>
          <w:rtl/>
          <w:lang w:bidi="ar-TN"/>
        </w:rPr>
      </w:pPr>
    </w:p>
    <w:p w:rsidR="00B553CD" w:rsidRPr="00B553CD" w:rsidRDefault="00B553CD" w:rsidP="00B553CD">
      <w:pPr>
        <w:jc w:val="center"/>
        <w:rPr>
          <w:b/>
          <w:bCs/>
          <w:sz w:val="22"/>
          <w:szCs w:val="22"/>
        </w:rPr>
      </w:pPr>
      <w:r w:rsidRPr="00B553CD">
        <w:rPr>
          <w:b/>
          <w:bCs/>
          <w:sz w:val="22"/>
          <w:szCs w:val="22"/>
        </w:rPr>
        <w:t xml:space="preserve">Etude préliminaire du régime alimentaire de </w:t>
      </w:r>
      <w:proofErr w:type="spellStart"/>
      <w:r w:rsidRPr="00B553CD">
        <w:rPr>
          <w:b/>
          <w:bCs/>
          <w:i/>
          <w:sz w:val="22"/>
          <w:szCs w:val="22"/>
        </w:rPr>
        <w:t>Conger</w:t>
      </w:r>
      <w:proofErr w:type="spellEnd"/>
      <w:r w:rsidRPr="00B553CD">
        <w:rPr>
          <w:b/>
          <w:bCs/>
          <w:i/>
          <w:sz w:val="22"/>
          <w:szCs w:val="22"/>
        </w:rPr>
        <w:t xml:space="preserve"> </w:t>
      </w:r>
      <w:proofErr w:type="spellStart"/>
      <w:r w:rsidRPr="00B553CD">
        <w:rPr>
          <w:b/>
          <w:bCs/>
          <w:i/>
          <w:sz w:val="22"/>
          <w:szCs w:val="22"/>
        </w:rPr>
        <w:t>conger</w:t>
      </w:r>
      <w:proofErr w:type="spellEnd"/>
      <w:r w:rsidRPr="00B553CD">
        <w:rPr>
          <w:b/>
          <w:bCs/>
          <w:sz w:val="22"/>
          <w:szCs w:val="22"/>
        </w:rPr>
        <w:t xml:space="preserve"> (</w:t>
      </w:r>
      <w:proofErr w:type="spellStart"/>
      <w:r w:rsidRPr="00B553CD">
        <w:rPr>
          <w:b/>
          <w:bCs/>
          <w:sz w:val="22"/>
          <w:szCs w:val="22"/>
        </w:rPr>
        <w:t>Linnaeus</w:t>
      </w:r>
      <w:proofErr w:type="spellEnd"/>
      <w:r w:rsidRPr="00B553CD">
        <w:rPr>
          <w:b/>
          <w:bCs/>
          <w:sz w:val="22"/>
          <w:szCs w:val="22"/>
        </w:rPr>
        <w:t>, 1758)</w:t>
      </w:r>
    </w:p>
    <w:p w:rsidR="00B553CD" w:rsidRPr="00B553CD" w:rsidRDefault="00B553CD" w:rsidP="00B553CD">
      <w:pPr>
        <w:jc w:val="center"/>
        <w:rPr>
          <w:b/>
          <w:bCs/>
          <w:sz w:val="20"/>
          <w:szCs w:val="20"/>
        </w:rPr>
      </w:pPr>
      <w:proofErr w:type="gramStart"/>
      <w:r w:rsidRPr="00B553CD">
        <w:rPr>
          <w:b/>
          <w:bCs/>
          <w:sz w:val="22"/>
          <w:szCs w:val="22"/>
        </w:rPr>
        <w:t>des</w:t>
      </w:r>
      <w:proofErr w:type="gramEnd"/>
      <w:r w:rsidRPr="00B553CD">
        <w:rPr>
          <w:b/>
          <w:bCs/>
          <w:sz w:val="22"/>
          <w:szCs w:val="22"/>
        </w:rPr>
        <w:t xml:space="preserve"> côtes Nord de la Tunisie.</w:t>
      </w:r>
    </w:p>
    <w:p w:rsidR="00B553CD" w:rsidRPr="00B553CD" w:rsidRDefault="00B553CD" w:rsidP="00B553CD">
      <w:pPr>
        <w:jc w:val="both"/>
        <w:rPr>
          <w:b/>
          <w:caps/>
          <w:sz w:val="20"/>
          <w:szCs w:val="20"/>
        </w:rPr>
      </w:pPr>
    </w:p>
    <w:p w:rsidR="00B553CD" w:rsidRDefault="00B553CD" w:rsidP="00B553CD">
      <w:pPr>
        <w:jc w:val="center"/>
        <w:rPr>
          <w:bCs/>
          <w:sz w:val="22"/>
          <w:szCs w:val="22"/>
          <w:vertAlign w:val="superscript"/>
          <w:lang w:val="en-US"/>
        </w:rPr>
      </w:pPr>
      <w:proofErr w:type="spellStart"/>
      <w:r w:rsidRPr="00B553CD">
        <w:rPr>
          <w:bCs/>
          <w:sz w:val="22"/>
          <w:szCs w:val="22"/>
          <w:lang w:val="en-US"/>
        </w:rPr>
        <w:t>Balkis</w:t>
      </w:r>
      <w:proofErr w:type="spellEnd"/>
      <w:r w:rsidRPr="00B553CD">
        <w:rPr>
          <w:bCs/>
          <w:sz w:val="22"/>
          <w:szCs w:val="22"/>
          <w:lang w:val="en-US"/>
        </w:rPr>
        <w:t xml:space="preserve"> </w:t>
      </w:r>
      <w:proofErr w:type="spellStart"/>
      <w:r w:rsidRPr="00B553CD">
        <w:rPr>
          <w:bCs/>
          <w:sz w:val="22"/>
          <w:szCs w:val="22"/>
          <w:lang w:val="en-US"/>
        </w:rPr>
        <w:t>Sallami</w:t>
      </w:r>
      <w:proofErr w:type="spellEnd"/>
      <w:r w:rsidRPr="00B553CD">
        <w:rPr>
          <w:bCs/>
          <w:sz w:val="22"/>
          <w:szCs w:val="22"/>
          <w:lang w:val="en-US"/>
        </w:rPr>
        <w:t xml:space="preserve"> </w:t>
      </w:r>
      <w:r w:rsidRPr="00B553CD">
        <w:rPr>
          <w:bCs/>
          <w:sz w:val="22"/>
          <w:szCs w:val="22"/>
          <w:vertAlign w:val="superscript"/>
          <w:lang w:val="en-US"/>
        </w:rPr>
        <w:t>(1)</w:t>
      </w:r>
      <w:r w:rsidRPr="00B553CD">
        <w:rPr>
          <w:bCs/>
          <w:sz w:val="22"/>
          <w:szCs w:val="22"/>
          <w:lang w:val="en-US"/>
        </w:rPr>
        <w:t xml:space="preserve"> Mohamed Ben Salem </w:t>
      </w:r>
      <w:r w:rsidRPr="00B553CD">
        <w:rPr>
          <w:bCs/>
          <w:sz w:val="22"/>
          <w:szCs w:val="22"/>
          <w:vertAlign w:val="superscript"/>
          <w:lang w:val="en-US"/>
        </w:rPr>
        <w:t>(1</w:t>
      </w:r>
      <w:proofErr w:type="gramStart"/>
      <w:r w:rsidRPr="00B553CD">
        <w:rPr>
          <w:bCs/>
          <w:sz w:val="22"/>
          <w:szCs w:val="22"/>
          <w:vertAlign w:val="superscript"/>
          <w:lang w:val="en-US"/>
        </w:rPr>
        <w:t>)</w:t>
      </w:r>
      <w:r w:rsidRPr="00B553CD">
        <w:rPr>
          <w:bCs/>
          <w:sz w:val="22"/>
          <w:szCs w:val="22"/>
          <w:lang w:val="en-US"/>
        </w:rPr>
        <w:t>&amp;</w:t>
      </w:r>
      <w:proofErr w:type="gramEnd"/>
      <w:r w:rsidRPr="00B553CD">
        <w:rPr>
          <w:bCs/>
          <w:sz w:val="22"/>
          <w:szCs w:val="22"/>
          <w:lang w:val="en-US"/>
        </w:rPr>
        <w:t xml:space="preserve">Pierre  </w:t>
      </w:r>
      <w:proofErr w:type="spellStart"/>
      <w:r w:rsidRPr="00B553CD">
        <w:rPr>
          <w:bCs/>
          <w:sz w:val="22"/>
          <w:szCs w:val="22"/>
          <w:lang w:val="en-US"/>
        </w:rPr>
        <w:t>Elie</w:t>
      </w:r>
      <w:proofErr w:type="spellEnd"/>
      <w:r w:rsidRPr="00B553CD">
        <w:rPr>
          <w:bCs/>
          <w:sz w:val="22"/>
          <w:szCs w:val="22"/>
          <w:vertAlign w:val="superscript"/>
          <w:lang w:val="en-US"/>
        </w:rPr>
        <w:t>(2)</w:t>
      </w:r>
    </w:p>
    <w:p w:rsidR="00B553CD" w:rsidRPr="00B553CD" w:rsidRDefault="00B553CD" w:rsidP="00B553CD">
      <w:pPr>
        <w:jc w:val="center"/>
        <w:rPr>
          <w:bCs/>
          <w:caps/>
          <w:sz w:val="22"/>
          <w:szCs w:val="22"/>
          <w:lang w:val="en-US"/>
        </w:rPr>
      </w:pPr>
    </w:p>
    <w:p w:rsidR="00B553CD" w:rsidRPr="00B553CD" w:rsidRDefault="00B553CD" w:rsidP="00B553CD">
      <w:pPr>
        <w:jc w:val="both"/>
        <w:rPr>
          <w:bCs/>
          <w:caps/>
          <w:sz w:val="20"/>
          <w:szCs w:val="20"/>
        </w:rPr>
      </w:pPr>
      <w:r w:rsidRPr="00B553CD">
        <w:rPr>
          <w:bCs/>
          <w:sz w:val="20"/>
          <w:szCs w:val="20"/>
        </w:rPr>
        <w:t xml:space="preserve">(1) Unité de recherche - Zoologie et Ecologie des milieux aquatiques -  Faculté des Sciences de Tunis, Campus universitaire 2090 El Manar II – Tunis, Tunisie. E-mail : </w:t>
      </w:r>
      <w:hyperlink r:id="rId4" w:history="1">
        <w:r w:rsidRPr="00B553CD">
          <w:rPr>
            <w:rStyle w:val="Lienhypertexte"/>
            <w:bCs/>
            <w:sz w:val="20"/>
            <w:szCs w:val="20"/>
          </w:rPr>
          <w:t>balkis.sallami@yahoo.fr</w:t>
        </w:r>
      </w:hyperlink>
    </w:p>
    <w:p w:rsidR="00B553CD" w:rsidRPr="00B553CD" w:rsidRDefault="00B553CD" w:rsidP="00B553CD">
      <w:pPr>
        <w:jc w:val="both"/>
        <w:rPr>
          <w:sz w:val="20"/>
          <w:szCs w:val="20"/>
        </w:rPr>
      </w:pPr>
      <w:r w:rsidRPr="00B553CD">
        <w:rPr>
          <w:bCs/>
          <w:caps/>
          <w:sz w:val="20"/>
          <w:szCs w:val="20"/>
        </w:rPr>
        <w:t>(2)</w:t>
      </w:r>
      <w:r w:rsidRPr="00B553CD">
        <w:rPr>
          <w:sz w:val="20"/>
          <w:szCs w:val="20"/>
        </w:rPr>
        <w:t xml:space="preserve">Unité "Ecosystèmes Estuariens et Poissons Migrateurs Amphihalins" </w:t>
      </w:r>
      <w:proofErr w:type="spellStart"/>
      <w:r w:rsidRPr="00B553CD">
        <w:rPr>
          <w:sz w:val="20"/>
          <w:szCs w:val="20"/>
        </w:rPr>
        <w:t>Cemagref</w:t>
      </w:r>
      <w:proofErr w:type="spellEnd"/>
      <w:r w:rsidRPr="00B553CD">
        <w:rPr>
          <w:sz w:val="20"/>
          <w:szCs w:val="20"/>
        </w:rPr>
        <w:t xml:space="preserve"> –Bordeaux, 33611 Cestas, France</w:t>
      </w:r>
    </w:p>
    <w:p w:rsidR="00B553CD" w:rsidRPr="00B553CD" w:rsidRDefault="00B553CD" w:rsidP="00B553CD">
      <w:pPr>
        <w:tabs>
          <w:tab w:val="left" w:pos="-284"/>
        </w:tabs>
        <w:jc w:val="both"/>
        <w:rPr>
          <w:sz w:val="20"/>
          <w:szCs w:val="20"/>
        </w:rPr>
      </w:pPr>
    </w:p>
    <w:p w:rsidR="00B553CD" w:rsidRPr="00B553CD" w:rsidRDefault="00B553CD" w:rsidP="00B553CD">
      <w:pPr>
        <w:rPr>
          <w:b/>
          <w:bCs/>
          <w:sz w:val="22"/>
          <w:szCs w:val="22"/>
        </w:rPr>
      </w:pPr>
      <w:r w:rsidRPr="00B553CD">
        <w:rPr>
          <w:b/>
          <w:bCs/>
          <w:sz w:val="22"/>
          <w:szCs w:val="22"/>
        </w:rPr>
        <w:t>Résumé :</w:t>
      </w:r>
    </w:p>
    <w:p w:rsidR="00B553CD" w:rsidRDefault="00B553CD" w:rsidP="00B553CD">
      <w:pPr>
        <w:tabs>
          <w:tab w:val="left" w:pos="-284"/>
        </w:tabs>
        <w:jc w:val="both"/>
        <w:rPr>
          <w:sz w:val="22"/>
          <w:szCs w:val="22"/>
        </w:rPr>
      </w:pPr>
      <w:r w:rsidRPr="00B553CD">
        <w:rPr>
          <w:sz w:val="22"/>
          <w:szCs w:val="22"/>
        </w:rPr>
        <w:t xml:space="preserve">Le congre </w:t>
      </w:r>
      <w:r w:rsidRPr="00B553CD">
        <w:rPr>
          <w:i/>
          <w:sz w:val="22"/>
          <w:szCs w:val="22"/>
        </w:rPr>
        <w:t>C .</w:t>
      </w:r>
      <w:proofErr w:type="spellStart"/>
      <w:r w:rsidRPr="00B553CD">
        <w:rPr>
          <w:i/>
          <w:sz w:val="22"/>
          <w:szCs w:val="22"/>
        </w:rPr>
        <w:t>conger</w:t>
      </w:r>
      <w:proofErr w:type="spellEnd"/>
      <w:r w:rsidRPr="00B553CD">
        <w:rPr>
          <w:sz w:val="22"/>
          <w:szCs w:val="22"/>
        </w:rPr>
        <w:t xml:space="preserve"> (</w:t>
      </w:r>
      <w:proofErr w:type="spellStart"/>
      <w:r w:rsidRPr="00B553CD">
        <w:rPr>
          <w:sz w:val="22"/>
          <w:szCs w:val="22"/>
        </w:rPr>
        <w:t>Linnaeus</w:t>
      </w:r>
      <w:proofErr w:type="spellEnd"/>
      <w:r w:rsidRPr="00B553CD">
        <w:rPr>
          <w:sz w:val="22"/>
          <w:szCs w:val="22"/>
        </w:rPr>
        <w:t xml:space="preserve"> 1758), est un poisson téléostéen peuplant une grande partie des côtes tunisiennes. Dans ce travail, nous avons essayé d’analyser le régime alimentaire des spécimens provenant de la côte Nord de la Tunisie. L’échantillon étudié est formé  de 173 poissons, d’une longueur totale comprise entre 23,8 et 118 cm et d’une masse totale variant respectivement de 17,26 à 3411,09 g. Ces poissons ont été récoltés de janvier 2008 à décembre 2009 à des profondeurs allant de 200 à 400m. Les estomacs ont été  </w:t>
      </w:r>
      <w:proofErr w:type="gramStart"/>
      <w:r w:rsidRPr="00B553CD">
        <w:rPr>
          <w:sz w:val="22"/>
          <w:szCs w:val="22"/>
        </w:rPr>
        <w:t>prélevés</w:t>
      </w:r>
      <w:proofErr w:type="gramEnd"/>
      <w:r w:rsidRPr="00B553CD">
        <w:rPr>
          <w:sz w:val="22"/>
          <w:szCs w:val="22"/>
        </w:rPr>
        <w:t>, examinés et les proies ont été identifiées, comptées et pesées. Dans notre étude, nous avons calculé le coefficient de vacuité exprimé en % (CV%) et trois indices: N% = Nombre d’individus de chaque item i x 100/ Nombre total des proies,</w:t>
      </w:r>
      <w:r w:rsidRPr="00B553CD">
        <w:rPr>
          <w:sz w:val="22"/>
          <w:szCs w:val="22"/>
          <w:rtl/>
        </w:rPr>
        <w:t xml:space="preserve"> </w:t>
      </w:r>
      <w:r w:rsidRPr="00B553CD">
        <w:rPr>
          <w:sz w:val="22"/>
          <w:szCs w:val="22"/>
        </w:rPr>
        <w:t>P% = Masse de l’item i x 100/Masse totale des proies,</w:t>
      </w:r>
      <w:r w:rsidRPr="00B553CD">
        <w:rPr>
          <w:sz w:val="22"/>
          <w:szCs w:val="22"/>
          <w:rtl/>
        </w:rPr>
        <w:t xml:space="preserve"> </w:t>
      </w:r>
      <w:r w:rsidRPr="00B553CD">
        <w:rPr>
          <w:sz w:val="22"/>
          <w:szCs w:val="22"/>
        </w:rPr>
        <w:t>F% = Nombre d’estomacs contenant l’item i x100/Nombre d’estomacs pleins examinés.</w:t>
      </w:r>
      <w:r w:rsidRPr="00B553CD">
        <w:rPr>
          <w:sz w:val="22"/>
          <w:szCs w:val="22"/>
          <w:rtl/>
        </w:rPr>
        <w:t xml:space="preserve"> </w:t>
      </w:r>
      <w:r w:rsidRPr="00B553CD">
        <w:rPr>
          <w:sz w:val="22"/>
          <w:szCs w:val="22"/>
        </w:rPr>
        <w:t xml:space="preserve">Ces résultats nous ont permis de calculer les deux indices alimentaires: </w:t>
      </w:r>
    </w:p>
    <w:p w:rsidR="00B553CD" w:rsidRPr="00B553CD" w:rsidRDefault="00B553CD" w:rsidP="00B553CD">
      <w:pPr>
        <w:tabs>
          <w:tab w:val="left" w:pos="-284"/>
        </w:tabs>
        <w:jc w:val="both"/>
        <w:rPr>
          <w:i/>
          <w:iCs/>
          <w:sz w:val="22"/>
          <w:szCs w:val="22"/>
        </w:rPr>
      </w:pPr>
      <w:r w:rsidRPr="00B553CD">
        <w:rPr>
          <w:sz w:val="22"/>
          <w:szCs w:val="22"/>
        </w:rPr>
        <w:t>Q = coefficient alimentaire qui est égal à  N% x P%  (</w:t>
      </w:r>
      <w:proofErr w:type="spellStart"/>
      <w:r w:rsidRPr="00B553CD">
        <w:rPr>
          <w:sz w:val="22"/>
          <w:szCs w:val="22"/>
        </w:rPr>
        <w:t>Hureau</w:t>
      </w:r>
      <w:proofErr w:type="spellEnd"/>
      <w:r w:rsidRPr="00B553CD">
        <w:rPr>
          <w:sz w:val="22"/>
          <w:szCs w:val="22"/>
        </w:rPr>
        <w:t>, 1970)</w:t>
      </w:r>
      <w:r w:rsidRPr="00B553CD">
        <w:rPr>
          <w:sz w:val="22"/>
          <w:szCs w:val="22"/>
          <w:rtl/>
        </w:rPr>
        <w:t xml:space="preserve"> </w:t>
      </w:r>
      <w:r w:rsidRPr="00B553CD">
        <w:rPr>
          <w:sz w:val="22"/>
          <w:szCs w:val="22"/>
        </w:rPr>
        <w:t xml:space="preserve">et IRI = indice d’importance relative qui est égal à  (N% +P%) x F% (PINKA et </w:t>
      </w:r>
      <w:r w:rsidRPr="00B553CD">
        <w:rPr>
          <w:i/>
          <w:sz w:val="22"/>
          <w:szCs w:val="22"/>
        </w:rPr>
        <w:t>al</w:t>
      </w:r>
      <w:r w:rsidRPr="00B553CD">
        <w:rPr>
          <w:sz w:val="22"/>
          <w:szCs w:val="22"/>
        </w:rPr>
        <w:t xml:space="preserve">, 1971). Ces indices expriment l’importance de chaque proie dans les régimes alimentaires. Sur 173 estomacs examinés, 93 étaient vides ; le coefficient de vacuité est de 53,75%. Le suivi de ce coefficient montre une légère variation saisonnière. L’étude du coefficient alimentaire  montre que la régime alimentaire de </w:t>
      </w:r>
      <w:r w:rsidRPr="00B553CD">
        <w:rPr>
          <w:i/>
          <w:sz w:val="22"/>
          <w:szCs w:val="22"/>
        </w:rPr>
        <w:t xml:space="preserve">C. </w:t>
      </w:r>
      <w:proofErr w:type="spellStart"/>
      <w:r w:rsidRPr="00B553CD">
        <w:rPr>
          <w:i/>
          <w:sz w:val="22"/>
          <w:szCs w:val="22"/>
        </w:rPr>
        <w:t>conger</w:t>
      </w:r>
      <w:proofErr w:type="spellEnd"/>
      <w:r w:rsidRPr="00B553CD">
        <w:rPr>
          <w:sz w:val="22"/>
          <w:szCs w:val="22"/>
        </w:rPr>
        <w:t xml:space="preserve"> est basé essentiellement sur des poissons Téléostéens (</w:t>
      </w:r>
      <w:proofErr w:type="spellStart"/>
      <w:r w:rsidRPr="00B553CD">
        <w:rPr>
          <w:i/>
          <w:sz w:val="22"/>
          <w:szCs w:val="22"/>
        </w:rPr>
        <w:t>Trachurus</w:t>
      </w:r>
      <w:proofErr w:type="spellEnd"/>
      <w:r w:rsidRPr="00B553CD">
        <w:rPr>
          <w:i/>
          <w:sz w:val="22"/>
          <w:szCs w:val="22"/>
        </w:rPr>
        <w:t xml:space="preserve"> </w:t>
      </w:r>
      <w:proofErr w:type="spellStart"/>
      <w:r w:rsidRPr="00B553CD">
        <w:rPr>
          <w:i/>
          <w:sz w:val="22"/>
          <w:szCs w:val="22"/>
        </w:rPr>
        <w:t>mediterraneus</w:t>
      </w:r>
      <w:proofErr w:type="spellEnd"/>
      <w:r w:rsidRPr="00B553CD">
        <w:rPr>
          <w:sz w:val="22"/>
          <w:szCs w:val="22"/>
        </w:rPr>
        <w:t xml:space="preserve">, </w:t>
      </w:r>
      <w:proofErr w:type="spellStart"/>
      <w:r w:rsidRPr="00B553CD">
        <w:rPr>
          <w:i/>
          <w:sz w:val="22"/>
          <w:szCs w:val="22"/>
        </w:rPr>
        <w:t>Boops</w:t>
      </w:r>
      <w:proofErr w:type="spellEnd"/>
      <w:r w:rsidRPr="00B553CD">
        <w:rPr>
          <w:i/>
          <w:sz w:val="22"/>
          <w:szCs w:val="22"/>
        </w:rPr>
        <w:t xml:space="preserve"> </w:t>
      </w:r>
      <w:proofErr w:type="spellStart"/>
      <w:proofErr w:type="gramStart"/>
      <w:r w:rsidRPr="00B553CD">
        <w:rPr>
          <w:i/>
          <w:sz w:val="22"/>
          <w:szCs w:val="22"/>
        </w:rPr>
        <w:t>boops</w:t>
      </w:r>
      <w:proofErr w:type="spellEnd"/>
      <w:r w:rsidRPr="00B553CD">
        <w:rPr>
          <w:i/>
          <w:sz w:val="22"/>
          <w:szCs w:val="22"/>
        </w:rPr>
        <w:t> ,</w:t>
      </w:r>
      <w:proofErr w:type="gramEnd"/>
      <w:r w:rsidRPr="00B553CD">
        <w:rPr>
          <w:i/>
          <w:sz w:val="22"/>
          <w:szCs w:val="22"/>
        </w:rPr>
        <w:t xml:space="preserve"> Sardina </w:t>
      </w:r>
      <w:proofErr w:type="spellStart"/>
      <w:r w:rsidRPr="00B553CD">
        <w:rPr>
          <w:i/>
          <w:sz w:val="22"/>
          <w:szCs w:val="22"/>
        </w:rPr>
        <w:t>pilcardus</w:t>
      </w:r>
      <w:proofErr w:type="spellEnd"/>
      <w:r w:rsidRPr="00B553CD">
        <w:rPr>
          <w:i/>
          <w:sz w:val="22"/>
          <w:szCs w:val="22"/>
        </w:rPr>
        <w:t xml:space="preserve"> </w:t>
      </w:r>
      <w:r w:rsidRPr="00B553CD">
        <w:rPr>
          <w:sz w:val="22"/>
          <w:szCs w:val="22"/>
        </w:rPr>
        <w:t xml:space="preserve">et </w:t>
      </w:r>
      <w:r w:rsidRPr="00B553CD">
        <w:rPr>
          <w:i/>
          <w:sz w:val="22"/>
          <w:szCs w:val="22"/>
        </w:rPr>
        <w:t xml:space="preserve">Gobies </w:t>
      </w:r>
      <w:proofErr w:type="spellStart"/>
      <w:r w:rsidRPr="00B553CD">
        <w:rPr>
          <w:i/>
          <w:sz w:val="22"/>
          <w:szCs w:val="22"/>
        </w:rPr>
        <w:t>sp</w:t>
      </w:r>
      <w:proofErr w:type="spellEnd"/>
      <w:r w:rsidRPr="00B553CD">
        <w:rPr>
          <w:sz w:val="22"/>
          <w:szCs w:val="22"/>
        </w:rPr>
        <w:t>). Les analyses de la variation saisonnière  du régime alimentaire basées  sur l’indice (IRI%) montrent que les Téléostéens (</w:t>
      </w:r>
      <w:proofErr w:type="spellStart"/>
      <w:r w:rsidRPr="00B553CD">
        <w:rPr>
          <w:i/>
          <w:sz w:val="22"/>
          <w:szCs w:val="22"/>
        </w:rPr>
        <w:t>Trachurus</w:t>
      </w:r>
      <w:proofErr w:type="spellEnd"/>
      <w:r w:rsidRPr="00B553CD">
        <w:rPr>
          <w:i/>
          <w:sz w:val="22"/>
          <w:szCs w:val="22"/>
        </w:rPr>
        <w:t xml:space="preserve"> </w:t>
      </w:r>
      <w:proofErr w:type="spellStart"/>
      <w:r w:rsidRPr="00B553CD">
        <w:rPr>
          <w:i/>
          <w:sz w:val="22"/>
          <w:szCs w:val="22"/>
        </w:rPr>
        <w:t>mediterraneus</w:t>
      </w:r>
      <w:proofErr w:type="spellEnd"/>
      <w:r w:rsidRPr="00B553CD">
        <w:rPr>
          <w:sz w:val="22"/>
          <w:szCs w:val="22"/>
        </w:rPr>
        <w:t xml:space="preserve">, </w:t>
      </w:r>
      <w:proofErr w:type="spellStart"/>
      <w:r w:rsidRPr="00B553CD">
        <w:rPr>
          <w:i/>
          <w:sz w:val="22"/>
          <w:szCs w:val="22"/>
        </w:rPr>
        <w:t>Boops</w:t>
      </w:r>
      <w:proofErr w:type="spellEnd"/>
      <w:r w:rsidRPr="00B553CD">
        <w:rPr>
          <w:i/>
          <w:sz w:val="22"/>
          <w:szCs w:val="22"/>
        </w:rPr>
        <w:t xml:space="preserve"> </w:t>
      </w:r>
      <w:proofErr w:type="spellStart"/>
      <w:r w:rsidRPr="00B553CD">
        <w:rPr>
          <w:i/>
          <w:sz w:val="22"/>
          <w:szCs w:val="22"/>
        </w:rPr>
        <w:t>boops</w:t>
      </w:r>
      <w:proofErr w:type="spellEnd"/>
      <w:r w:rsidRPr="00B553CD">
        <w:rPr>
          <w:i/>
          <w:sz w:val="22"/>
          <w:szCs w:val="22"/>
        </w:rPr>
        <w:t xml:space="preserve"> </w:t>
      </w:r>
      <w:r w:rsidRPr="00B553CD">
        <w:rPr>
          <w:sz w:val="22"/>
          <w:szCs w:val="22"/>
        </w:rPr>
        <w:t>et</w:t>
      </w:r>
      <w:r w:rsidRPr="00B553CD">
        <w:rPr>
          <w:i/>
          <w:sz w:val="22"/>
          <w:szCs w:val="22"/>
        </w:rPr>
        <w:t xml:space="preserve"> Gobies </w:t>
      </w:r>
      <w:proofErr w:type="spellStart"/>
      <w:r w:rsidRPr="00B553CD">
        <w:rPr>
          <w:i/>
          <w:sz w:val="22"/>
          <w:szCs w:val="22"/>
        </w:rPr>
        <w:t>sp</w:t>
      </w:r>
      <w:proofErr w:type="spellEnd"/>
      <w:r w:rsidRPr="00B553CD">
        <w:rPr>
          <w:sz w:val="22"/>
          <w:szCs w:val="22"/>
        </w:rPr>
        <w:t xml:space="preserve">)  constituent le groupe de proies dominant surtout en été et  en automne (IRI% &gt; 81%). Cependant, les Crustacés et en particulier le genre </w:t>
      </w:r>
      <w:proofErr w:type="spellStart"/>
      <w:r w:rsidRPr="00B553CD">
        <w:rPr>
          <w:i/>
          <w:sz w:val="22"/>
          <w:szCs w:val="22"/>
        </w:rPr>
        <w:t>Homarus</w:t>
      </w:r>
      <w:proofErr w:type="spellEnd"/>
      <w:r w:rsidRPr="00B553CD">
        <w:rPr>
          <w:sz w:val="22"/>
          <w:szCs w:val="22"/>
        </w:rPr>
        <w:t xml:space="preserve"> l’emporte en hiver. En outre,  les Gastéropodes</w:t>
      </w:r>
      <w:r w:rsidRPr="00B553CD">
        <w:rPr>
          <w:i/>
          <w:iCs/>
          <w:sz w:val="22"/>
          <w:szCs w:val="22"/>
        </w:rPr>
        <w:t xml:space="preserve"> (</w:t>
      </w:r>
      <w:proofErr w:type="spellStart"/>
      <w:r w:rsidRPr="00B553CD">
        <w:rPr>
          <w:i/>
          <w:iCs/>
          <w:sz w:val="22"/>
          <w:szCs w:val="22"/>
        </w:rPr>
        <w:t>Buccinulum</w:t>
      </w:r>
      <w:proofErr w:type="spellEnd"/>
      <w:r w:rsidRPr="00B553CD">
        <w:rPr>
          <w:i/>
          <w:iCs/>
          <w:sz w:val="22"/>
          <w:szCs w:val="22"/>
        </w:rPr>
        <w:t xml:space="preserve"> </w:t>
      </w:r>
      <w:proofErr w:type="spellStart"/>
      <w:r w:rsidRPr="00B553CD">
        <w:rPr>
          <w:i/>
          <w:iCs/>
          <w:sz w:val="22"/>
          <w:szCs w:val="22"/>
        </w:rPr>
        <w:t>corneum</w:t>
      </w:r>
      <w:proofErr w:type="spellEnd"/>
      <w:r w:rsidRPr="00B553CD">
        <w:rPr>
          <w:i/>
          <w:iCs/>
          <w:sz w:val="22"/>
          <w:szCs w:val="22"/>
        </w:rPr>
        <w:t xml:space="preserve"> </w:t>
      </w:r>
      <w:r w:rsidRPr="00B553CD">
        <w:rPr>
          <w:iCs/>
          <w:sz w:val="22"/>
          <w:szCs w:val="22"/>
        </w:rPr>
        <w:t>et</w:t>
      </w:r>
      <w:r w:rsidRPr="00B553CD">
        <w:rPr>
          <w:i/>
          <w:iCs/>
          <w:sz w:val="22"/>
          <w:szCs w:val="22"/>
        </w:rPr>
        <w:t xml:space="preserve"> </w:t>
      </w:r>
      <w:proofErr w:type="spellStart"/>
      <w:r w:rsidRPr="00B553CD">
        <w:rPr>
          <w:i/>
          <w:iCs/>
          <w:sz w:val="22"/>
          <w:szCs w:val="22"/>
        </w:rPr>
        <w:t>Gibbula</w:t>
      </w:r>
      <w:proofErr w:type="spellEnd"/>
      <w:r w:rsidRPr="00B553CD">
        <w:rPr>
          <w:i/>
          <w:iCs/>
          <w:sz w:val="22"/>
          <w:szCs w:val="22"/>
        </w:rPr>
        <w:t xml:space="preserve"> </w:t>
      </w:r>
      <w:proofErr w:type="spellStart"/>
      <w:r w:rsidRPr="00B553CD">
        <w:rPr>
          <w:i/>
          <w:iCs/>
          <w:sz w:val="22"/>
          <w:szCs w:val="22"/>
        </w:rPr>
        <w:t>sp</w:t>
      </w:r>
      <w:proofErr w:type="spellEnd"/>
      <w:r w:rsidRPr="00B553CD">
        <w:rPr>
          <w:i/>
          <w:iCs/>
          <w:sz w:val="22"/>
          <w:szCs w:val="22"/>
        </w:rPr>
        <w:t>)</w:t>
      </w:r>
      <w:r w:rsidRPr="00B553CD">
        <w:rPr>
          <w:sz w:val="22"/>
          <w:szCs w:val="22"/>
        </w:rPr>
        <w:t xml:space="preserve"> ont été trouvés uniquement au printemps. </w:t>
      </w:r>
    </w:p>
    <w:p w:rsidR="00B553CD" w:rsidRPr="00B553CD" w:rsidRDefault="00B553CD" w:rsidP="00B553CD">
      <w:pPr>
        <w:jc w:val="both"/>
        <w:rPr>
          <w:b/>
          <w:sz w:val="22"/>
          <w:szCs w:val="22"/>
        </w:rPr>
      </w:pPr>
    </w:p>
    <w:p w:rsidR="00B553CD" w:rsidRPr="00B553CD" w:rsidRDefault="00B553CD" w:rsidP="00B553CD">
      <w:pPr>
        <w:jc w:val="both"/>
        <w:rPr>
          <w:sz w:val="22"/>
          <w:szCs w:val="22"/>
        </w:rPr>
      </w:pPr>
      <w:r w:rsidRPr="00B553CD">
        <w:rPr>
          <w:b/>
          <w:sz w:val="22"/>
          <w:szCs w:val="22"/>
        </w:rPr>
        <w:t>Mots clés</w:t>
      </w:r>
      <w:r w:rsidRPr="00B553CD">
        <w:rPr>
          <w:sz w:val="22"/>
          <w:szCs w:val="22"/>
        </w:rPr>
        <w:t xml:space="preserve"> : régime alimentaire, </w:t>
      </w:r>
      <w:r w:rsidRPr="00B553CD">
        <w:rPr>
          <w:i/>
          <w:sz w:val="22"/>
          <w:szCs w:val="22"/>
        </w:rPr>
        <w:t>C .</w:t>
      </w:r>
      <w:proofErr w:type="spellStart"/>
      <w:r w:rsidRPr="00B553CD">
        <w:rPr>
          <w:i/>
          <w:sz w:val="22"/>
          <w:szCs w:val="22"/>
        </w:rPr>
        <w:t>conger</w:t>
      </w:r>
      <w:proofErr w:type="spellEnd"/>
      <w:r w:rsidRPr="00B553CD">
        <w:rPr>
          <w:sz w:val="22"/>
          <w:szCs w:val="22"/>
        </w:rPr>
        <w:t xml:space="preserve">, côtes Nord de la Tunisie, coefficient alimentaire, coefficient de vacuité, indice alimentaire.  </w:t>
      </w:r>
    </w:p>
    <w:p w:rsidR="005D15C7" w:rsidRDefault="005D15C7">
      <w:pPr>
        <w:rPr>
          <w:rFonts w:hint="cs"/>
          <w:rtl/>
          <w:lang w:bidi="ar-TN"/>
        </w:rPr>
      </w:pPr>
    </w:p>
    <w:p w:rsidR="005D15C7" w:rsidRDefault="00B553CD">
      <w:pPr>
        <w:rPr>
          <w:b/>
          <w:bCs/>
          <w:lang w:bidi="ar-TN"/>
        </w:rPr>
      </w:pPr>
      <w:r w:rsidRPr="00B553CD">
        <w:rPr>
          <w:b/>
          <w:bCs/>
          <w:lang w:bidi="ar-TN"/>
        </w:rPr>
        <w:t>Abstract </w:t>
      </w:r>
      <w:proofErr w:type="gramStart"/>
      <w:r w:rsidRPr="00B553CD">
        <w:rPr>
          <w:b/>
          <w:bCs/>
          <w:lang w:bidi="ar-TN"/>
        </w:rPr>
        <w:t>:</w:t>
      </w:r>
      <w:r>
        <w:rPr>
          <w:b/>
          <w:bCs/>
          <w:lang w:bidi="ar-TN"/>
        </w:rPr>
        <w:t xml:space="preserve">  Titre</w:t>
      </w:r>
      <w:proofErr w:type="gramEnd"/>
      <w:r>
        <w:rPr>
          <w:b/>
          <w:bCs/>
          <w:lang w:bidi="ar-TN"/>
        </w:rPr>
        <w:t xml:space="preserve"> anglais</w:t>
      </w:r>
    </w:p>
    <w:p w:rsidR="00B553CD" w:rsidRDefault="00B553CD">
      <w:pPr>
        <w:rPr>
          <w:lang w:bidi="ar-TN"/>
        </w:rPr>
      </w:pPr>
      <w:r w:rsidRPr="00B553CD">
        <w:rPr>
          <w:lang w:bidi="ar-TN"/>
        </w:rPr>
        <w:t>Texte</w:t>
      </w:r>
    </w:p>
    <w:p w:rsidR="00B553CD" w:rsidRPr="00B553CD" w:rsidRDefault="00B553CD">
      <w:pPr>
        <w:rPr>
          <w:rFonts w:hint="cs"/>
          <w:b/>
          <w:bCs/>
          <w:lang w:bidi="ar-TN"/>
        </w:rPr>
      </w:pPr>
      <w:r w:rsidRPr="00B553CD">
        <w:rPr>
          <w:b/>
          <w:bCs/>
          <w:lang w:bidi="ar-TN"/>
        </w:rPr>
        <w:t xml:space="preserve">Key </w:t>
      </w:r>
      <w:proofErr w:type="spellStart"/>
      <w:r w:rsidRPr="00B553CD">
        <w:rPr>
          <w:b/>
          <w:bCs/>
          <w:lang w:bidi="ar-TN"/>
        </w:rPr>
        <w:t>words</w:t>
      </w:r>
      <w:proofErr w:type="spellEnd"/>
      <w:r>
        <w:rPr>
          <w:b/>
          <w:bCs/>
          <w:lang w:bidi="ar-TN"/>
        </w:rPr>
        <w:t> :</w:t>
      </w:r>
    </w:p>
    <w:sectPr w:rsidR="00B553CD" w:rsidRPr="00B553CD" w:rsidSect="00086E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5D15C7"/>
    <w:rsid w:val="00086E64"/>
    <w:rsid w:val="005C2943"/>
    <w:rsid w:val="005D15C7"/>
    <w:rsid w:val="00B553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C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D15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lkis.sallami@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2016-12-17T00:15:00Z</dcterms:created>
  <dcterms:modified xsi:type="dcterms:W3CDTF">2016-12-17T00:38:00Z</dcterms:modified>
</cp:coreProperties>
</file>